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F568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right"/>
        <w:textAlignment w:val="auto"/>
        <w:rPr>
          <w:rFonts w:hint="default"/>
          <w:lang w:val="en-US" w:eastAsia="zh-CN"/>
        </w:rPr>
      </w:pPr>
    </w:p>
    <w:p w14:paraId="45D0651F">
      <w:pPr>
        <w:jc w:val="right"/>
        <w:rPr>
          <w:rFonts w:hint="default"/>
          <w:lang w:val="en-US" w:eastAsia="zh-CN"/>
        </w:rPr>
      </w:pPr>
    </w:p>
    <w:p w14:paraId="18EA96E3">
      <w:pPr>
        <w:jc w:val="right"/>
        <w:rPr>
          <w:rFonts w:hint="default"/>
          <w:lang w:val="en-US" w:eastAsia="zh-CN"/>
        </w:rPr>
      </w:pPr>
    </w:p>
    <w:p w14:paraId="66826823">
      <w:pPr>
        <w:jc w:val="right"/>
        <w:rPr>
          <w:rFonts w:hint="default"/>
          <w:lang w:val="en-US" w:eastAsia="zh-CN"/>
        </w:rPr>
      </w:pPr>
    </w:p>
    <w:p w14:paraId="55BF386A">
      <w:pPr>
        <w:jc w:val="right"/>
        <w:rPr>
          <w:rFonts w:hint="default"/>
          <w:lang w:val="en-US" w:eastAsia="zh-CN"/>
        </w:rPr>
      </w:pPr>
    </w:p>
    <w:p w14:paraId="41BB902A">
      <w:pPr>
        <w:jc w:val="right"/>
        <w:rPr>
          <w:rFonts w:hint="default"/>
          <w:lang w:val="en-US" w:eastAsia="zh-CN"/>
        </w:rPr>
      </w:pPr>
    </w:p>
    <w:p w14:paraId="0274D397">
      <w:pPr>
        <w:jc w:val="right"/>
        <w:rPr>
          <w:rFonts w:hint="default"/>
          <w:lang w:val="en-US" w:eastAsia="zh-CN"/>
        </w:rPr>
      </w:pPr>
    </w:p>
    <w:p w14:paraId="436E1D25">
      <w:pPr>
        <w:jc w:val="center"/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</w:pPr>
    </w:p>
    <w:p w14:paraId="1CB08178">
      <w:pPr>
        <w:jc w:val="center"/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</w:pPr>
    </w:p>
    <w:p w14:paraId="2CC2083D">
      <w:pPr>
        <w:jc w:val="center"/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  <w:t>小额零星采购竞价平台</w:t>
      </w:r>
    </w:p>
    <w:p w14:paraId="346B71CB">
      <w:pPr>
        <w:jc w:val="center"/>
        <w:rPr>
          <w:rFonts w:hint="eastAsia" w:ascii="宋体" w:hAnsi="宋体" w:cs="宋体" w:eastAsiaTheme="minorEastAsia"/>
          <w:b/>
          <w:bCs/>
          <w:sz w:val="30"/>
          <w:szCs w:val="30"/>
          <w:lang w:val="en-US" w:eastAsia="zh-CN"/>
        </w:rPr>
      </w:pPr>
    </w:p>
    <w:p w14:paraId="2D2E4C2D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E916279">
      <w:pPr>
        <w:bidi w:val="0"/>
        <w:rPr>
          <w:rFonts w:hint="eastAsia"/>
          <w:lang w:val="en-US" w:eastAsia="zh-CN"/>
        </w:rPr>
      </w:pPr>
    </w:p>
    <w:p w14:paraId="04979E52">
      <w:pPr>
        <w:bidi w:val="0"/>
        <w:rPr>
          <w:rFonts w:hint="eastAsia"/>
          <w:lang w:val="en-US" w:eastAsia="zh-CN"/>
        </w:rPr>
      </w:pPr>
    </w:p>
    <w:p w14:paraId="1B36E218">
      <w:pPr>
        <w:bidi w:val="0"/>
        <w:rPr>
          <w:rFonts w:hint="eastAsia"/>
          <w:lang w:val="en-US" w:eastAsia="zh-CN"/>
        </w:rPr>
      </w:pPr>
    </w:p>
    <w:p w14:paraId="7299BE22">
      <w:pPr>
        <w:bidi w:val="0"/>
        <w:rPr>
          <w:rFonts w:hint="eastAsia"/>
          <w:lang w:val="en-US" w:eastAsia="zh-CN"/>
        </w:rPr>
      </w:pPr>
    </w:p>
    <w:p w14:paraId="701C10CB">
      <w:pPr>
        <w:bidi w:val="0"/>
        <w:rPr>
          <w:rFonts w:hint="eastAsia"/>
          <w:lang w:val="en-US" w:eastAsia="zh-CN"/>
        </w:rPr>
      </w:pPr>
    </w:p>
    <w:p w14:paraId="0E39D215">
      <w:pPr>
        <w:bidi w:val="0"/>
        <w:rPr>
          <w:rFonts w:hint="eastAsia"/>
          <w:lang w:val="en-US" w:eastAsia="zh-CN"/>
        </w:rPr>
      </w:pPr>
    </w:p>
    <w:p w14:paraId="0D229A41">
      <w:pPr>
        <w:bidi w:val="0"/>
        <w:rPr>
          <w:rFonts w:hint="eastAsia"/>
          <w:lang w:val="en-US" w:eastAsia="zh-CN"/>
        </w:rPr>
      </w:pPr>
    </w:p>
    <w:p w14:paraId="6AF80FEE">
      <w:pPr>
        <w:bidi w:val="0"/>
        <w:rPr>
          <w:rFonts w:hint="eastAsia"/>
          <w:lang w:val="en-US" w:eastAsia="zh-CN"/>
        </w:rPr>
      </w:pPr>
    </w:p>
    <w:p w14:paraId="308DC56E">
      <w:pPr>
        <w:bidi w:val="0"/>
        <w:rPr>
          <w:rFonts w:hint="eastAsia"/>
          <w:lang w:val="en-US" w:eastAsia="zh-CN"/>
        </w:rPr>
      </w:pPr>
    </w:p>
    <w:p w14:paraId="711EE458">
      <w:pPr>
        <w:bidi w:val="0"/>
        <w:rPr>
          <w:rFonts w:hint="eastAsia"/>
          <w:lang w:val="en-US" w:eastAsia="zh-CN"/>
        </w:rPr>
      </w:pPr>
    </w:p>
    <w:p w14:paraId="06D122F7">
      <w:pPr>
        <w:bidi w:val="0"/>
        <w:rPr>
          <w:rFonts w:hint="eastAsia"/>
          <w:lang w:val="en-US" w:eastAsia="zh-CN"/>
        </w:rPr>
      </w:pPr>
    </w:p>
    <w:p w14:paraId="1BC7EB4A">
      <w:pPr>
        <w:jc w:val="center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供应商</w:t>
      </w:r>
      <w:r>
        <w:rPr>
          <w:rFonts w:hint="eastAsia"/>
          <w:b/>
          <w:bCs/>
          <w:sz w:val="48"/>
          <w:szCs w:val="48"/>
        </w:rPr>
        <w:t>操作手册</w:t>
      </w:r>
    </w:p>
    <w:p w14:paraId="14CEC737"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/>
          <w:b/>
          <w:bCs/>
          <w:sz w:val="36"/>
          <w:szCs w:val="36"/>
        </w:rPr>
        <w:t>202</w:t>
      </w:r>
      <w:r>
        <w:rPr>
          <w:rFonts w:hint="eastAsia"/>
          <w:b/>
          <w:bCs/>
          <w:sz w:val="36"/>
          <w:szCs w:val="36"/>
          <w:lang w:val="en-US" w:eastAsia="zh-CN"/>
        </w:rPr>
        <w:t>5</w:t>
      </w:r>
      <w:r>
        <w:rPr>
          <w:rFonts w:hint="eastAsia"/>
          <w:b/>
          <w:bCs/>
          <w:sz w:val="36"/>
          <w:szCs w:val="36"/>
        </w:rPr>
        <w:t>-</w:t>
      </w:r>
      <w:r>
        <w:rPr>
          <w:rFonts w:hint="eastAsia"/>
          <w:b/>
          <w:bCs/>
          <w:sz w:val="36"/>
          <w:szCs w:val="36"/>
          <w:lang w:val="en-US" w:eastAsia="zh-CN"/>
        </w:rPr>
        <w:t>07</w:t>
      </w:r>
    </w:p>
    <w:p w14:paraId="1A313EC9">
      <w:pPr>
        <w:bidi w:val="0"/>
        <w:rPr>
          <w:rFonts w:hint="eastAsia"/>
          <w:lang w:val="en-US" w:eastAsia="zh-CN"/>
        </w:rPr>
      </w:pPr>
    </w:p>
    <w:p w14:paraId="0DD67301">
      <w:pPr>
        <w:bidi w:val="0"/>
        <w:rPr>
          <w:rFonts w:hint="eastAsia"/>
          <w:lang w:val="en-US" w:eastAsia="zh-CN"/>
        </w:rPr>
      </w:pPr>
    </w:p>
    <w:p w14:paraId="10EC7189">
      <w:pPr>
        <w:bidi w:val="0"/>
        <w:rPr>
          <w:rFonts w:hint="eastAsia"/>
          <w:lang w:val="en-US" w:eastAsia="zh-CN"/>
        </w:rPr>
      </w:pPr>
    </w:p>
    <w:p w14:paraId="5CAD6385">
      <w:pPr>
        <w:bidi w:val="0"/>
        <w:rPr>
          <w:rFonts w:hint="eastAsia"/>
          <w:lang w:val="en-US" w:eastAsia="zh-CN"/>
        </w:rPr>
      </w:pPr>
    </w:p>
    <w:p w14:paraId="3B0F764A">
      <w:pPr>
        <w:bidi w:val="0"/>
        <w:rPr>
          <w:rFonts w:hint="eastAsia"/>
          <w:lang w:val="en-US" w:eastAsia="zh-CN"/>
        </w:rPr>
      </w:pPr>
    </w:p>
    <w:p w14:paraId="17CD5103">
      <w:pPr>
        <w:bidi w:val="0"/>
        <w:rPr>
          <w:rFonts w:hint="eastAsia"/>
          <w:lang w:val="en-US" w:eastAsia="zh-CN"/>
        </w:rPr>
      </w:pPr>
    </w:p>
    <w:p w14:paraId="11018683">
      <w:pPr>
        <w:tabs>
          <w:tab w:val="left" w:pos="2753"/>
        </w:tabs>
        <w:bidi w:val="0"/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湖南好采投信息技术有限公司编制</w:t>
      </w:r>
    </w:p>
    <w:p w14:paraId="322F252C">
      <w:pPr>
        <w:tabs>
          <w:tab w:val="left" w:pos="2753"/>
        </w:tabs>
        <w:bidi w:val="0"/>
        <w:jc w:val="center"/>
        <w:rPr>
          <w:rFonts w:hint="eastAsia"/>
          <w:b/>
          <w:bCs/>
          <w:sz w:val="30"/>
          <w:szCs w:val="30"/>
          <w:lang w:val="en-US" w:eastAsia="zh-CN"/>
        </w:rPr>
      </w:pPr>
    </w:p>
    <w:sdt>
      <w:sdtPr>
        <w:rPr>
          <w:rFonts w:hint="eastAsia" w:ascii="黑体" w:hAnsi="黑体" w:eastAsia="黑体" w:cs="黑体"/>
          <w:kern w:val="2"/>
          <w:sz w:val="30"/>
          <w:szCs w:val="30"/>
          <w:lang w:val="en-US" w:eastAsia="zh-CN" w:bidi="ar-SA"/>
        </w:rPr>
        <w:id w:val="147461936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</w:sdtEndPr>
      <w:sdtContent>
        <w:p w14:paraId="6968B545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华文中宋" w:hAnsi="华文中宋" w:eastAsia="华文中宋" w:cs="华文中宋"/>
              <w:sz w:val="24"/>
              <w:szCs w:val="24"/>
            </w:rPr>
          </w:pPr>
          <w:bookmarkStart w:id="13" w:name="_GoBack"/>
          <w:bookmarkEnd w:id="13"/>
          <w:r>
            <w:rPr>
              <w:rFonts w:hint="eastAsia" w:ascii="华文中宋" w:hAnsi="华文中宋" w:eastAsia="华文中宋" w:cs="华文中宋"/>
              <w:sz w:val="24"/>
              <w:szCs w:val="24"/>
            </w:rPr>
            <w:t>目录</w:t>
          </w:r>
        </w:p>
        <w:p w14:paraId="1D27FB4D">
          <w:pPr>
            <w:pStyle w:val="6"/>
            <w:tabs>
              <w:tab w:val="right" w:leader="dot" w:pos="8306"/>
            </w:tabs>
          </w:pP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begin"/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instrText xml:space="preserve">TOC \o "1-3" \h \u </w:instrText>
          </w:r>
          <w:r>
            <w:rPr>
              <w:rFonts w:hint="eastAsia" w:ascii="华文中宋" w:hAnsi="华文中宋" w:eastAsia="华文中宋" w:cs="华文中宋"/>
              <w:sz w:val="24"/>
              <w:szCs w:val="24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szCs w:val="24"/>
            </w:rPr>
            <w:fldChar w:fldCharType="begin"/>
          </w:r>
          <w:r>
            <w:rPr>
              <w:rFonts w:hint="eastAsia" w:ascii="华文中宋" w:hAnsi="华文中宋" w:eastAsia="华文中宋" w:cs="华文中宋"/>
              <w:szCs w:val="24"/>
            </w:rPr>
            <w:instrText xml:space="preserve"> HYPERLINK \l _Toc23850 </w:instrText>
          </w:r>
          <w:r>
            <w:rPr>
              <w:rFonts w:hint="eastAsia" w:ascii="华文中宋" w:hAnsi="华文中宋" w:eastAsia="华文中宋" w:cs="华文中宋"/>
              <w:szCs w:val="24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Cs w:val="0"/>
              <w:szCs w:val="28"/>
              <w:lang w:val="en-US" w:eastAsia="zh-CN"/>
            </w:rPr>
            <w:t>1.使用对象</w:t>
          </w:r>
          <w:r>
            <w:tab/>
          </w:r>
          <w:r>
            <w:fldChar w:fldCharType="begin"/>
          </w:r>
          <w:r>
            <w:instrText xml:space="preserve"> PAGEREF _Toc23850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华文中宋" w:hAnsi="华文中宋" w:eastAsia="华文中宋" w:cs="华文中宋"/>
              <w:szCs w:val="24"/>
            </w:rPr>
            <w:fldChar w:fldCharType="end"/>
          </w:r>
        </w:p>
        <w:p w14:paraId="7227B338">
          <w:pPr>
            <w:pStyle w:val="6"/>
            <w:tabs>
              <w:tab w:val="right" w:leader="dot" w:pos="8306"/>
            </w:tabs>
          </w:pPr>
          <w:r>
            <w:rPr>
              <w:rFonts w:hint="eastAsia" w:ascii="华文中宋" w:hAnsi="华文中宋" w:eastAsia="华文中宋" w:cs="华文中宋"/>
              <w:szCs w:val="24"/>
            </w:rPr>
            <w:fldChar w:fldCharType="begin"/>
          </w:r>
          <w:r>
            <w:rPr>
              <w:rFonts w:hint="eastAsia" w:ascii="华文中宋" w:hAnsi="华文中宋" w:eastAsia="华文中宋" w:cs="华文中宋"/>
              <w:szCs w:val="24"/>
            </w:rPr>
            <w:instrText xml:space="preserve"> HYPERLINK \l _Toc27745 </w:instrText>
          </w:r>
          <w:r>
            <w:rPr>
              <w:rFonts w:hint="eastAsia" w:ascii="华文中宋" w:hAnsi="华文中宋" w:eastAsia="华文中宋" w:cs="华文中宋"/>
              <w:szCs w:val="24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Cs w:val="0"/>
              <w:szCs w:val="28"/>
              <w:lang w:val="en-US" w:eastAsia="zh-CN"/>
            </w:rPr>
            <w:t>2.运行环境要求</w:t>
          </w:r>
          <w:r>
            <w:tab/>
          </w:r>
          <w:r>
            <w:fldChar w:fldCharType="begin"/>
          </w:r>
          <w:r>
            <w:instrText xml:space="preserve"> PAGEREF _Toc27745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华文中宋" w:hAnsi="华文中宋" w:eastAsia="华文中宋" w:cs="华文中宋"/>
              <w:szCs w:val="24"/>
            </w:rPr>
            <w:fldChar w:fldCharType="end"/>
          </w:r>
        </w:p>
        <w:p w14:paraId="70A809F8">
          <w:pPr>
            <w:pStyle w:val="6"/>
            <w:tabs>
              <w:tab w:val="right" w:leader="dot" w:pos="8306"/>
            </w:tabs>
          </w:pPr>
          <w:r>
            <w:rPr>
              <w:rFonts w:hint="eastAsia" w:ascii="华文中宋" w:hAnsi="华文中宋" w:eastAsia="华文中宋" w:cs="华文中宋"/>
              <w:szCs w:val="24"/>
            </w:rPr>
            <w:fldChar w:fldCharType="begin"/>
          </w:r>
          <w:r>
            <w:rPr>
              <w:rFonts w:hint="eastAsia" w:ascii="华文中宋" w:hAnsi="华文中宋" w:eastAsia="华文中宋" w:cs="华文中宋"/>
              <w:szCs w:val="24"/>
            </w:rPr>
            <w:instrText xml:space="preserve"> HYPERLINK \l _Toc9211 </w:instrText>
          </w:r>
          <w:r>
            <w:rPr>
              <w:rFonts w:hint="eastAsia" w:ascii="华文中宋" w:hAnsi="华文中宋" w:eastAsia="华文中宋" w:cs="华文中宋"/>
              <w:szCs w:val="24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Cs w:val="0"/>
              <w:szCs w:val="28"/>
              <w:lang w:val="en-US" w:eastAsia="zh-CN"/>
            </w:rPr>
            <w:t>3.竞价公告查询</w:t>
          </w:r>
          <w:r>
            <w:tab/>
          </w:r>
          <w:r>
            <w:fldChar w:fldCharType="begin"/>
          </w:r>
          <w:r>
            <w:instrText xml:space="preserve"> PAGEREF _Toc9211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华文中宋" w:hAnsi="华文中宋" w:eastAsia="华文中宋" w:cs="华文中宋"/>
              <w:szCs w:val="24"/>
            </w:rPr>
            <w:fldChar w:fldCharType="end"/>
          </w:r>
        </w:p>
        <w:p w14:paraId="10CF3FD1">
          <w:pPr>
            <w:pStyle w:val="6"/>
            <w:tabs>
              <w:tab w:val="right" w:leader="dot" w:pos="8306"/>
            </w:tabs>
          </w:pPr>
          <w:r>
            <w:rPr>
              <w:rFonts w:hint="eastAsia" w:ascii="华文中宋" w:hAnsi="华文中宋" w:eastAsia="华文中宋" w:cs="华文中宋"/>
              <w:szCs w:val="24"/>
            </w:rPr>
            <w:fldChar w:fldCharType="begin"/>
          </w:r>
          <w:r>
            <w:rPr>
              <w:rFonts w:hint="eastAsia" w:ascii="华文中宋" w:hAnsi="华文中宋" w:eastAsia="华文中宋" w:cs="华文中宋"/>
              <w:szCs w:val="24"/>
            </w:rPr>
            <w:instrText xml:space="preserve"> HYPERLINK \l _Toc8418 </w:instrText>
          </w:r>
          <w:r>
            <w:rPr>
              <w:rFonts w:hint="eastAsia" w:ascii="华文中宋" w:hAnsi="华文中宋" w:eastAsia="华文中宋" w:cs="华文中宋"/>
              <w:szCs w:val="24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Cs w:val="0"/>
              <w:szCs w:val="28"/>
              <w:lang w:val="en-US" w:eastAsia="zh-CN"/>
            </w:rPr>
            <w:t>4.系统登录</w:t>
          </w:r>
          <w:r>
            <w:tab/>
          </w:r>
          <w:r>
            <w:fldChar w:fldCharType="begin"/>
          </w:r>
          <w:r>
            <w:instrText xml:space="preserve"> PAGEREF _Toc8418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华文中宋" w:hAnsi="华文中宋" w:eastAsia="华文中宋" w:cs="华文中宋"/>
              <w:szCs w:val="24"/>
            </w:rPr>
            <w:fldChar w:fldCharType="end"/>
          </w:r>
        </w:p>
        <w:p w14:paraId="6A27E68D">
          <w:pPr>
            <w:pStyle w:val="6"/>
            <w:tabs>
              <w:tab w:val="right" w:leader="dot" w:pos="8306"/>
            </w:tabs>
          </w:pPr>
          <w:r>
            <w:rPr>
              <w:rFonts w:hint="eastAsia" w:ascii="华文中宋" w:hAnsi="华文中宋" w:eastAsia="华文中宋" w:cs="华文中宋"/>
              <w:szCs w:val="24"/>
            </w:rPr>
            <w:fldChar w:fldCharType="begin"/>
          </w:r>
          <w:r>
            <w:rPr>
              <w:rFonts w:hint="eastAsia" w:ascii="华文中宋" w:hAnsi="华文中宋" w:eastAsia="华文中宋" w:cs="华文中宋"/>
              <w:szCs w:val="24"/>
            </w:rPr>
            <w:instrText xml:space="preserve"> HYPERLINK \l _Toc1212 </w:instrText>
          </w:r>
          <w:r>
            <w:rPr>
              <w:rFonts w:hint="eastAsia" w:ascii="华文中宋" w:hAnsi="华文中宋" w:eastAsia="华文中宋" w:cs="华文中宋"/>
              <w:szCs w:val="24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Cs w:val="0"/>
              <w:szCs w:val="28"/>
              <w:lang w:val="en-US" w:eastAsia="zh-CN"/>
            </w:rPr>
            <w:t>5.响应文件上传</w:t>
          </w:r>
          <w:r>
            <w:tab/>
          </w:r>
          <w:r>
            <w:fldChar w:fldCharType="begin"/>
          </w:r>
          <w:r>
            <w:instrText xml:space="preserve"> PAGEREF _Toc1212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华文中宋" w:hAnsi="华文中宋" w:eastAsia="华文中宋" w:cs="华文中宋"/>
              <w:szCs w:val="24"/>
            </w:rPr>
            <w:fldChar w:fldCharType="end"/>
          </w:r>
        </w:p>
        <w:p w14:paraId="095EEF3F">
          <w:pPr>
            <w:pStyle w:val="6"/>
            <w:tabs>
              <w:tab w:val="right" w:leader="dot" w:pos="8306"/>
            </w:tabs>
          </w:pPr>
          <w:r>
            <w:rPr>
              <w:rFonts w:hint="eastAsia" w:ascii="华文中宋" w:hAnsi="华文中宋" w:eastAsia="华文中宋" w:cs="华文中宋"/>
              <w:szCs w:val="24"/>
            </w:rPr>
            <w:fldChar w:fldCharType="begin"/>
          </w:r>
          <w:r>
            <w:rPr>
              <w:rFonts w:hint="eastAsia" w:ascii="华文中宋" w:hAnsi="华文中宋" w:eastAsia="华文中宋" w:cs="华文中宋"/>
              <w:szCs w:val="24"/>
            </w:rPr>
            <w:instrText xml:space="preserve"> HYPERLINK \l _Toc14449 </w:instrText>
          </w:r>
          <w:r>
            <w:rPr>
              <w:rFonts w:hint="eastAsia" w:ascii="华文中宋" w:hAnsi="华文中宋" w:eastAsia="华文中宋" w:cs="华文中宋"/>
              <w:szCs w:val="24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Cs w:val="0"/>
              <w:szCs w:val="28"/>
              <w:lang w:val="en-US" w:eastAsia="zh-CN"/>
            </w:rPr>
            <w:t>6.响应文件解密</w:t>
          </w:r>
          <w:r>
            <w:tab/>
          </w:r>
          <w:r>
            <w:fldChar w:fldCharType="begin"/>
          </w:r>
          <w:r>
            <w:instrText xml:space="preserve"> PAGEREF _Toc14449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华文中宋" w:hAnsi="华文中宋" w:eastAsia="华文中宋" w:cs="华文中宋"/>
              <w:szCs w:val="24"/>
            </w:rPr>
            <w:fldChar w:fldCharType="end"/>
          </w:r>
        </w:p>
        <w:p w14:paraId="5B48AB8B">
          <w:pPr>
            <w:pStyle w:val="6"/>
            <w:tabs>
              <w:tab w:val="right" w:leader="dot" w:pos="8306"/>
            </w:tabs>
          </w:pPr>
          <w:r>
            <w:rPr>
              <w:rFonts w:hint="eastAsia" w:ascii="华文中宋" w:hAnsi="华文中宋" w:eastAsia="华文中宋" w:cs="华文中宋"/>
              <w:szCs w:val="24"/>
            </w:rPr>
            <w:fldChar w:fldCharType="begin"/>
          </w:r>
          <w:r>
            <w:rPr>
              <w:rFonts w:hint="eastAsia" w:ascii="华文中宋" w:hAnsi="华文中宋" w:eastAsia="华文中宋" w:cs="华文中宋"/>
              <w:szCs w:val="24"/>
            </w:rPr>
            <w:instrText xml:space="preserve"> HYPERLINK \l _Toc29368 </w:instrText>
          </w:r>
          <w:r>
            <w:rPr>
              <w:rFonts w:hint="eastAsia" w:ascii="华文中宋" w:hAnsi="华文中宋" w:eastAsia="华文中宋" w:cs="华文中宋"/>
              <w:szCs w:val="24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Cs w:val="0"/>
              <w:szCs w:val="28"/>
              <w:lang w:val="en-US" w:eastAsia="zh-CN"/>
            </w:rPr>
            <w:t>7.竞价结果公告查询</w:t>
          </w:r>
          <w:r>
            <w:tab/>
          </w:r>
          <w:r>
            <w:fldChar w:fldCharType="begin"/>
          </w:r>
          <w:r>
            <w:instrText xml:space="preserve"> PAGEREF _Toc29368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华文中宋" w:hAnsi="华文中宋" w:eastAsia="华文中宋" w:cs="华文中宋"/>
              <w:szCs w:val="24"/>
            </w:rPr>
            <w:fldChar w:fldCharType="end"/>
          </w:r>
        </w:p>
        <w:p w14:paraId="1E994246">
          <w:pPr>
            <w:pStyle w:val="6"/>
            <w:tabs>
              <w:tab w:val="right" w:leader="dot" w:pos="8306"/>
            </w:tabs>
          </w:pPr>
          <w:r>
            <w:rPr>
              <w:rFonts w:hint="eastAsia" w:ascii="华文中宋" w:hAnsi="华文中宋" w:eastAsia="华文中宋" w:cs="华文中宋"/>
              <w:szCs w:val="24"/>
            </w:rPr>
            <w:fldChar w:fldCharType="begin"/>
          </w:r>
          <w:r>
            <w:rPr>
              <w:rFonts w:hint="eastAsia" w:ascii="华文中宋" w:hAnsi="华文中宋" w:eastAsia="华文中宋" w:cs="华文中宋"/>
              <w:szCs w:val="24"/>
            </w:rPr>
            <w:instrText xml:space="preserve"> HYPERLINK \l _Toc10781 </w:instrText>
          </w:r>
          <w:r>
            <w:rPr>
              <w:rFonts w:hint="eastAsia" w:ascii="华文中宋" w:hAnsi="华文中宋" w:eastAsia="华文中宋" w:cs="华文中宋"/>
              <w:szCs w:val="24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Cs w:val="0"/>
              <w:szCs w:val="28"/>
              <w:lang w:val="en-US" w:eastAsia="zh-CN"/>
            </w:rPr>
            <w:t>8.成交通知书下载</w:t>
          </w:r>
          <w:r>
            <w:tab/>
          </w:r>
          <w:r>
            <w:fldChar w:fldCharType="begin"/>
          </w:r>
          <w:r>
            <w:instrText xml:space="preserve"> PAGEREF _Toc10781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华文中宋" w:hAnsi="华文中宋" w:eastAsia="华文中宋" w:cs="华文中宋"/>
              <w:szCs w:val="24"/>
            </w:rPr>
            <w:fldChar w:fldCharType="end"/>
          </w:r>
        </w:p>
        <w:p w14:paraId="4CB56982">
          <w:pPr>
            <w:pStyle w:val="6"/>
            <w:tabs>
              <w:tab w:val="right" w:leader="dot" w:pos="8306"/>
            </w:tabs>
          </w:pPr>
          <w:r>
            <w:rPr>
              <w:rFonts w:hint="eastAsia" w:ascii="华文中宋" w:hAnsi="华文中宋" w:eastAsia="华文中宋" w:cs="华文中宋"/>
              <w:szCs w:val="24"/>
            </w:rPr>
            <w:fldChar w:fldCharType="begin"/>
          </w:r>
          <w:r>
            <w:rPr>
              <w:rFonts w:hint="eastAsia" w:ascii="华文中宋" w:hAnsi="华文中宋" w:eastAsia="华文中宋" w:cs="华文中宋"/>
              <w:szCs w:val="24"/>
            </w:rPr>
            <w:instrText xml:space="preserve"> HYPERLINK \l _Toc24045 </w:instrText>
          </w:r>
          <w:r>
            <w:rPr>
              <w:rFonts w:hint="eastAsia" w:ascii="华文中宋" w:hAnsi="华文中宋" w:eastAsia="华文中宋" w:cs="华文中宋"/>
              <w:szCs w:val="24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Cs w:val="0"/>
              <w:szCs w:val="28"/>
              <w:lang w:val="en-US" w:eastAsia="zh-CN"/>
            </w:rPr>
            <w:t>9.终止公告查询</w:t>
          </w:r>
          <w:r>
            <w:tab/>
          </w:r>
          <w:r>
            <w:fldChar w:fldCharType="begin"/>
          </w:r>
          <w:r>
            <w:instrText xml:space="preserve"> PAGEREF _Toc24045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华文中宋" w:hAnsi="华文中宋" w:eastAsia="华文中宋" w:cs="华文中宋"/>
              <w:szCs w:val="24"/>
            </w:rPr>
            <w:fldChar w:fldCharType="end"/>
          </w:r>
        </w:p>
        <w:p w14:paraId="42AF57CD">
          <w:r>
            <w:rPr>
              <w:rFonts w:hint="eastAsia" w:ascii="华文中宋" w:hAnsi="华文中宋" w:eastAsia="华文中宋" w:cs="华文中宋"/>
              <w:szCs w:val="24"/>
            </w:rPr>
            <w:fldChar w:fldCharType="end"/>
          </w:r>
        </w:p>
      </w:sdtContent>
    </w:sdt>
    <w:p w14:paraId="49DBC38D">
      <w:pP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br w:type="page"/>
      </w:r>
    </w:p>
    <w:p w14:paraId="345376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0"/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</w:pPr>
      <w:bookmarkStart w:id="0" w:name="_Toc25001"/>
      <w:bookmarkStart w:id="1" w:name="_Toc23850"/>
      <w:bookmarkStart w:id="2" w:name="_Toc30414"/>
      <w:r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  <w:t>1.使用对象</w:t>
      </w:r>
      <w:bookmarkEnd w:id="0"/>
      <w:bookmarkEnd w:id="1"/>
    </w:p>
    <w:p w14:paraId="6E1B1B54">
      <w:pPr>
        <w:pStyle w:val="15"/>
        <w:spacing w:before="93"/>
        <w:ind w:firstLine="420"/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</w:pP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t>本手册的使用对象是供应商，完成注册、响应文件上传、响应文件解密等。</w:t>
      </w:r>
    </w:p>
    <w:p w14:paraId="422FB6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0"/>
        <w:rPr>
          <w:rFonts w:hint="default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</w:pPr>
      <w:bookmarkStart w:id="3" w:name="_Toc9892"/>
      <w:bookmarkStart w:id="4" w:name="_Toc2741"/>
      <w:bookmarkStart w:id="5" w:name="_Toc27745"/>
      <w:r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  <w:t>2.运行环境要求</w:t>
      </w:r>
      <w:bookmarkEnd w:id="3"/>
      <w:bookmarkEnd w:id="4"/>
      <w:bookmarkEnd w:id="5"/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4281"/>
        <w:gridCol w:w="1401"/>
      </w:tblGrid>
      <w:tr w14:paraId="707C84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tted" w:color="auto" w:sz="8" w:space="0"/>
            </w:tcBorders>
            <w:shd w:val="clear" w:color="auto" w:fill="4F81BD"/>
          </w:tcPr>
          <w:p w14:paraId="3A379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华文中宋" w:hAnsi="华文中宋" w:eastAsia="华文中宋" w:cs="华文中宋"/>
                <w:b/>
                <w:bCs/>
                <w:color w:val="FFFFFF"/>
                <w:kern w:val="2"/>
                <w:sz w:val="24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华文中宋" w:hAnsi="华文中宋" w:eastAsia="华文中宋" w:cs="华文中宋"/>
                <w:b/>
                <w:bCs/>
                <w:color w:val="FFFFFF"/>
                <w:kern w:val="2"/>
                <w:sz w:val="24"/>
                <w:szCs w:val="22"/>
                <w:vertAlign w:val="baseline"/>
                <w:lang w:val="en-US" w:eastAsia="zh-CN" w:bidi="ar-SA"/>
              </w:rPr>
              <w:t>项目</w:t>
            </w:r>
          </w:p>
        </w:tc>
        <w:tc>
          <w:tcPr>
            <w:tcW w:w="4281" w:type="dxa"/>
            <w:tcBorders>
              <w:top w:val="single" w:color="auto" w:sz="4" w:space="0"/>
              <w:left w:val="dotted" w:color="auto" w:sz="8" w:space="0"/>
              <w:bottom w:val="single" w:color="auto" w:sz="4" w:space="0"/>
              <w:right w:val="dotted" w:color="auto" w:sz="8" w:space="0"/>
            </w:tcBorders>
            <w:shd w:val="clear" w:color="auto" w:fill="4F81BD"/>
          </w:tcPr>
          <w:p w14:paraId="1D940A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华文中宋" w:hAnsi="华文中宋" w:eastAsia="华文中宋" w:cs="华文中宋"/>
                <w:b/>
                <w:bCs/>
                <w:color w:val="FFFFFF"/>
                <w:kern w:val="2"/>
                <w:sz w:val="24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华文中宋" w:hAnsi="华文中宋" w:eastAsia="华文中宋" w:cs="华文中宋"/>
                <w:b/>
                <w:bCs/>
                <w:color w:val="FFFFFF"/>
                <w:kern w:val="2"/>
                <w:sz w:val="24"/>
                <w:szCs w:val="22"/>
                <w:vertAlign w:val="baseline"/>
                <w:lang w:val="en-US" w:eastAsia="zh-CN" w:bidi="ar-SA"/>
              </w:rPr>
              <w:t>要求</w:t>
            </w:r>
          </w:p>
        </w:tc>
        <w:tc>
          <w:tcPr>
            <w:tcW w:w="1401" w:type="dxa"/>
            <w:tcBorders>
              <w:top w:val="single" w:color="auto" w:sz="4" w:space="0"/>
              <w:left w:val="dotted" w:color="auto" w:sz="8" w:space="0"/>
              <w:bottom w:val="single" w:color="auto" w:sz="4" w:space="0"/>
              <w:right w:val="single" w:color="auto" w:sz="4" w:space="0"/>
            </w:tcBorders>
            <w:shd w:val="clear" w:color="auto" w:fill="4F81BD"/>
          </w:tcPr>
          <w:p w14:paraId="0D70EC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华文中宋" w:hAnsi="华文中宋" w:eastAsia="华文中宋" w:cs="华文中宋"/>
                <w:b/>
                <w:bCs/>
                <w:color w:val="FFFFFF"/>
                <w:kern w:val="2"/>
                <w:sz w:val="24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华文中宋" w:hAnsi="华文中宋" w:eastAsia="华文中宋" w:cs="华文中宋"/>
                <w:b/>
                <w:bCs/>
                <w:color w:val="FFFFFF"/>
                <w:kern w:val="2"/>
                <w:sz w:val="24"/>
                <w:szCs w:val="22"/>
                <w:vertAlign w:val="baseline"/>
                <w:lang w:val="en-US" w:eastAsia="zh-CN" w:bidi="ar-SA"/>
              </w:rPr>
              <w:t>说明</w:t>
            </w:r>
          </w:p>
        </w:tc>
      </w:tr>
      <w:tr w14:paraId="701E3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op w:val="single" w:color="auto" w:sz="4" w:space="0"/>
            </w:tcBorders>
          </w:tcPr>
          <w:p w14:paraId="0A9277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textAlignment w:val="auto"/>
              <w:outlineLvl w:val="9"/>
              <w:rPr>
                <w:rFonts w:hint="default" w:ascii="华文宋体" w:hAnsi="华文宋体" w:eastAsia="华文宋体" w:cs="华文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华文宋体" w:hAnsi="华文宋体" w:eastAsia="华文宋体" w:cs="华文宋体"/>
                <w:kern w:val="2"/>
                <w:sz w:val="21"/>
                <w:szCs w:val="21"/>
                <w:lang w:val="en-US" w:eastAsia="zh-CN" w:bidi="ar-SA"/>
              </w:rPr>
              <w:t>操作系统</w:t>
            </w:r>
          </w:p>
        </w:tc>
        <w:tc>
          <w:tcPr>
            <w:tcW w:w="4281" w:type="dxa"/>
            <w:tcBorders>
              <w:top w:val="single" w:color="auto" w:sz="4" w:space="0"/>
            </w:tcBorders>
          </w:tcPr>
          <w:p w14:paraId="1CF6CCC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textAlignment w:val="auto"/>
              <w:outlineLvl w:val="9"/>
              <w:rPr>
                <w:rFonts w:hint="default" w:ascii="华文宋体" w:hAnsi="华文宋体" w:eastAsia="华文宋体" w:cs="华文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华文宋体" w:hAnsi="华文宋体" w:eastAsia="华文宋体" w:cs="华文宋体"/>
                <w:kern w:val="2"/>
                <w:sz w:val="21"/>
                <w:szCs w:val="21"/>
                <w:lang w:val="en-US" w:eastAsia="zh-CN" w:bidi="ar-SA"/>
              </w:rPr>
              <w:t>Win7</w:t>
            </w:r>
            <w:r>
              <w:rPr>
                <w:rFonts w:hint="eastAsia" w:ascii="华文宋体" w:hAnsi="华文宋体" w:eastAsia="华文宋体" w:cs="华文宋体"/>
                <w:kern w:val="2"/>
                <w:sz w:val="21"/>
                <w:szCs w:val="21"/>
                <w:lang w:val="en-US" w:eastAsia="zh-CN" w:bidi="ar-SA"/>
              </w:rPr>
              <w:t>，</w:t>
            </w:r>
            <w:r>
              <w:rPr>
                <w:rFonts w:hint="default" w:ascii="华文宋体" w:hAnsi="华文宋体" w:eastAsia="华文宋体" w:cs="华文宋体"/>
                <w:kern w:val="2"/>
                <w:sz w:val="21"/>
                <w:szCs w:val="21"/>
                <w:lang w:val="en-US" w:eastAsia="zh-CN" w:bidi="ar-SA"/>
              </w:rPr>
              <w:t>Win10操作系统</w:t>
            </w:r>
          </w:p>
        </w:tc>
        <w:tc>
          <w:tcPr>
            <w:tcW w:w="1401" w:type="dxa"/>
            <w:tcBorders>
              <w:top w:val="single" w:color="auto" w:sz="4" w:space="0"/>
            </w:tcBorders>
          </w:tcPr>
          <w:p w14:paraId="28C5D1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Times New Roman" w:eastAsia="宋体" w:cs="Times New Roman"/>
                <w:kern w:val="2"/>
                <w:sz w:val="24"/>
                <w:szCs w:val="22"/>
                <w:vertAlign w:val="baseline"/>
                <w:lang w:val="en-US" w:eastAsia="zh-CN" w:bidi="ar-SA"/>
              </w:rPr>
            </w:pPr>
          </w:p>
        </w:tc>
      </w:tr>
      <w:tr w14:paraId="4C5FD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5FB214F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textAlignment w:val="auto"/>
              <w:outlineLvl w:val="9"/>
              <w:rPr>
                <w:rFonts w:hint="default" w:ascii="华文宋体" w:hAnsi="华文宋体" w:eastAsia="华文宋体" w:cs="华文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华文宋体" w:hAnsi="华文宋体" w:eastAsia="华文宋体" w:cs="华文宋体"/>
                <w:kern w:val="2"/>
                <w:sz w:val="21"/>
                <w:szCs w:val="21"/>
                <w:lang w:val="en-US" w:eastAsia="zh-CN" w:bidi="ar-SA"/>
              </w:rPr>
              <w:t>推荐使用浏览器</w:t>
            </w:r>
          </w:p>
        </w:tc>
        <w:tc>
          <w:tcPr>
            <w:tcW w:w="4281" w:type="dxa"/>
          </w:tcPr>
          <w:p w14:paraId="55AB3D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textAlignment w:val="auto"/>
              <w:outlineLvl w:val="9"/>
              <w:rPr>
                <w:rFonts w:hint="default" w:ascii="华文宋体" w:hAnsi="华文宋体" w:eastAsia="华文宋体" w:cs="华文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华文宋体" w:hAnsi="华文宋体" w:eastAsia="华文宋体" w:cs="华文宋体"/>
                <w:kern w:val="2"/>
                <w:sz w:val="21"/>
                <w:szCs w:val="21"/>
                <w:lang w:val="en-US" w:eastAsia="zh-CN" w:bidi="ar-SA"/>
              </w:rPr>
              <w:t>IE9\IE10及以上的IE版本 360安全浏览器、谷歌浏览器</w:t>
            </w:r>
          </w:p>
        </w:tc>
        <w:tc>
          <w:tcPr>
            <w:tcW w:w="1401" w:type="dxa"/>
          </w:tcPr>
          <w:p w14:paraId="4D0F49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Times New Roman" w:eastAsia="宋体" w:cs="Times New Roman"/>
                <w:kern w:val="2"/>
                <w:sz w:val="24"/>
                <w:szCs w:val="22"/>
                <w:vertAlign w:val="baseline"/>
                <w:lang w:val="en-US" w:eastAsia="zh-CN" w:bidi="ar-SA"/>
              </w:rPr>
            </w:pPr>
          </w:p>
        </w:tc>
      </w:tr>
      <w:tr w14:paraId="2EF07B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3E8F88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textAlignment w:val="auto"/>
              <w:outlineLvl w:val="9"/>
              <w:rPr>
                <w:rFonts w:hint="default" w:ascii="华文宋体" w:hAnsi="华文宋体" w:eastAsia="华文宋体" w:cs="华文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华文宋体" w:hAnsi="华文宋体" w:eastAsia="华文宋体" w:cs="华文宋体"/>
                <w:kern w:val="2"/>
                <w:sz w:val="21"/>
                <w:szCs w:val="21"/>
                <w:lang w:val="en-US" w:eastAsia="zh-CN" w:bidi="ar-SA"/>
              </w:rPr>
              <w:t>其它要求</w:t>
            </w:r>
          </w:p>
        </w:tc>
        <w:tc>
          <w:tcPr>
            <w:tcW w:w="4281" w:type="dxa"/>
          </w:tcPr>
          <w:p w14:paraId="263902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textAlignment w:val="auto"/>
              <w:outlineLvl w:val="9"/>
              <w:rPr>
                <w:rFonts w:hint="default" w:ascii="华文宋体" w:hAnsi="华文宋体" w:eastAsia="华文宋体" w:cs="华文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华文宋体" w:hAnsi="华文宋体" w:eastAsia="华文宋体" w:cs="华文宋体"/>
                <w:kern w:val="2"/>
                <w:sz w:val="21"/>
                <w:szCs w:val="21"/>
                <w:lang w:val="en-US" w:eastAsia="zh-CN" w:bidi="ar-SA"/>
              </w:rPr>
              <w:t xml:space="preserve">网络畅通。安装了阅读和编辑文档所需的Office Word\Excel等办公软件。 </w:t>
            </w:r>
          </w:p>
        </w:tc>
        <w:tc>
          <w:tcPr>
            <w:tcW w:w="1401" w:type="dxa"/>
          </w:tcPr>
          <w:p w14:paraId="2CDDEC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Times New Roman" w:eastAsia="宋体" w:cs="Times New Roman"/>
                <w:kern w:val="2"/>
                <w:sz w:val="24"/>
                <w:szCs w:val="22"/>
                <w:vertAlign w:val="baseline"/>
                <w:lang w:val="en-US" w:eastAsia="zh-CN" w:bidi="ar-SA"/>
              </w:rPr>
            </w:pPr>
          </w:p>
        </w:tc>
      </w:tr>
    </w:tbl>
    <w:p w14:paraId="32A3A2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0"/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</w:pPr>
      <w:bookmarkStart w:id="6" w:name="_Toc9211"/>
      <w:r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  <w:t>3.竞价公告查询</w:t>
      </w:r>
      <w:bookmarkEnd w:id="6"/>
    </w:p>
    <w:p w14:paraId="66AB5F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</w:pP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t>进入【吉首大学】-【采购与招投标办公室】官网，</w:t>
      </w: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instrText xml:space="preserve"> HYPERLINK "https://caigzx.jsu.edu.cn/。" </w:instrText>
      </w: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Style w:val="12"/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t>https://caigzx.jsu.edu.cn/</w:t>
      </w:r>
      <w:r>
        <w:rPr>
          <w:rStyle w:val="12"/>
          <w:rFonts w:hint="eastAsia" w:ascii="华文宋体" w:hAnsi="华文宋体" w:eastAsia="华文宋体" w:cs="华文宋体"/>
          <w:kern w:val="2"/>
          <w:sz w:val="24"/>
          <w:szCs w:val="24"/>
          <w:u w:val="none"/>
          <w:lang w:val="en-US" w:eastAsia="zh-CN" w:bidi="ar-SA"/>
        </w:rPr>
        <w:t>。</w:t>
      </w: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t>从官网进入“小额零星采购竞价信息网”。可查看学校发布的竞价公告信息。</w:t>
      </w:r>
    </w:p>
    <w:p w14:paraId="210B40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ascii="华文宋体" w:hAnsi="华文宋体" w:eastAsia="华文宋体" w:cs="华文宋体"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5270500" cy="2359025"/>
            <wp:effectExtent l="0" t="0" r="635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2FC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0"/>
        <w:rPr>
          <w:rFonts w:hint="default" w:ascii="华文中宋" w:hAnsi="华文中宋" w:eastAsia="华文中宋" w:cs="华文中宋"/>
          <w:b/>
          <w:bCs/>
          <w:sz w:val="32"/>
          <w:szCs w:val="32"/>
          <w:lang w:val="en-US" w:eastAsia="zh-CN"/>
        </w:rPr>
      </w:pPr>
      <w:bookmarkStart w:id="7" w:name="_Toc8418"/>
      <w:r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  <w:t>4.</w:t>
      </w:r>
      <w:bookmarkEnd w:id="2"/>
      <w:r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  <w:t>系统登录</w:t>
      </w:r>
      <w:bookmarkEnd w:id="7"/>
    </w:p>
    <w:p w14:paraId="78400D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</w:pP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t>第①种方式：首先进入【吉首大学】-【采购与招投标办公室】官网：https://caigzx.jsu.edu.cn/。</w:t>
      </w:r>
    </w:p>
    <w:p w14:paraId="66FA6E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</w:pP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t>（1）从采购与招投标办公室官网进入“小额零星采购竞价信息网”。</w:t>
      </w:r>
    </w:p>
    <w:p w14:paraId="7AE5CC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5125085" cy="26581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l="2689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BE9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outlineLvl w:val="9"/>
        <w:rPr>
          <w:rFonts w:hint="default" w:ascii="华文宋体" w:hAnsi="华文宋体" w:eastAsia="华文宋体" w:cs="华文宋体"/>
          <w:kern w:val="2"/>
          <w:sz w:val="24"/>
          <w:szCs w:val="24"/>
          <w:lang w:val="en-US" w:eastAsia="zh-CN" w:bidi="ar-SA"/>
        </w:rPr>
      </w:pP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t>（2）选择“竞价平台（供应商）登录/注册”，进入供应商登录页面。</w:t>
      </w:r>
    </w:p>
    <w:p w14:paraId="48C50F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</w:pPr>
      <w:r>
        <w:drawing>
          <wp:inline distT="0" distB="0" distL="114300" distR="114300">
            <wp:extent cx="5266690" cy="2518410"/>
            <wp:effectExtent l="0" t="0" r="10160" b="1524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D65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</w:pP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t>第②种方式：在浏览器中输入地址：</w:t>
      </w:r>
    </w:p>
    <w:p w14:paraId="0FE6D9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0" w:firstLineChars="300"/>
        <w:textAlignment w:val="auto"/>
        <w:outlineLvl w:val="9"/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</w:pPr>
      <w:r>
        <w:rPr>
          <w:rFonts w:hint="eastAsia" w:ascii="华文宋体" w:hAnsi="华文宋体" w:eastAsia="华文宋体" w:cs="华文宋体"/>
          <w:color w:val="FF0000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华文宋体" w:hAnsi="华文宋体" w:eastAsia="华文宋体" w:cs="华文宋体"/>
          <w:color w:val="FF0000"/>
          <w:kern w:val="2"/>
          <w:sz w:val="24"/>
          <w:szCs w:val="24"/>
          <w:lang w:val="en-US" w:eastAsia="zh-CN" w:bidi="ar-SA"/>
        </w:rPr>
        <w:instrText xml:space="preserve"> HYPERLINK "https://zbcg.jsu.edu.cn/jsdxzbcg/supplier_login.jsp，" </w:instrText>
      </w:r>
      <w:r>
        <w:rPr>
          <w:rFonts w:hint="eastAsia" w:ascii="华文宋体" w:hAnsi="华文宋体" w:eastAsia="华文宋体" w:cs="华文宋体"/>
          <w:color w:val="FF0000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Style w:val="12"/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t>https://zbcg.jsu.edu.cn/jsdxzbcg/supplier_login.jsp</w:t>
      </w:r>
      <w:r>
        <w:rPr>
          <w:rStyle w:val="12"/>
          <w:rFonts w:hint="eastAsia" w:ascii="华文宋体" w:hAnsi="华文宋体" w:eastAsia="华文宋体" w:cs="华文宋体"/>
          <w:color w:val="000000" w:themeColor="text1"/>
          <w:kern w:val="2"/>
          <w:sz w:val="24"/>
          <w:szCs w:val="24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华文宋体" w:hAnsi="华文宋体" w:eastAsia="华文宋体" w:cs="华文宋体"/>
          <w:color w:val="FF0000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t>进入供应商登录页面。</w:t>
      </w:r>
    </w:p>
    <w:p w14:paraId="3AE778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</w:pP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t>没有注册的供应商需点击“供应商注册”，进入到供应商注册页面填写信息。</w:t>
      </w:r>
      <w:r>
        <w:drawing>
          <wp:inline distT="0" distB="0" distL="114300" distR="114300">
            <wp:extent cx="5273040" cy="2762885"/>
            <wp:effectExtent l="0" t="0" r="3810" b="1841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61A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t>填写完相关信息后，获取手机验证码填写；点击【注册】按钮即完成注册。注册完成后直接跳转至“小额零星采购竞价信息网”。如已注册，直接输入账号密码登录即可。</w:t>
      </w:r>
    </w:p>
    <w:p w14:paraId="6E5BE4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</w:pPr>
      <w:r>
        <w:drawing>
          <wp:inline distT="0" distB="0" distL="114300" distR="114300">
            <wp:extent cx="5266690" cy="2523490"/>
            <wp:effectExtent l="0" t="0" r="10160" b="1016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7A9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</w:pPr>
      <w:bookmarkStart w:id="8" w:name="_Toc1212"/>
      <w:r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  <w:t>5.响应文件上传</w:t>
      </w:r>
      <w:bookmarkEnd w:id="8"/>
    </w:p>
    <w:p w14:paraId="3F5153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</w:pP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t>进入小额零星采购竞价平台首页，点击【参与竞价】按钮，进入详情页面。</w:t>
      </w:r>
    </w:p>
    <w:p w14:paraId="43B2DE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</w:pPr>
      <w:r>
        <w:drawing>
          <wp:inline distT="0" distB="0" distL="114300" distR="114300">
            <wp:extent cx="5266690" cy="2315210"/>
            <wp:effectExtent l="0" t="0" r="0" b="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rcRect b="79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030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t>下载竞价采购需求文件，线下制作响应文件、报价一览表。制作完成后回到此页面提交加密的响应文件。</w:t>
      </w:r>
    </w:p>
    <w:p w14:paraId="332411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2518410"/>
            <wp:effectExtent l="0" t="0" r="10160" b="1524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3A6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</w:pP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t>上传加密响应文件、加密报价一览表，点击【提交响应文件】按钮即可完成响应文件上传操作。竞价响应时间截止后，会进入到下一步”解密响应文件“操作，请注意观察竞价截止时间，请勿超时解密！</w:t>
      </w:r>
      <w:r>
        <w:rPr>
          <w:rFonts w:hint="eastAsia" w:ascii="华文宋体" w:hAnsi="华文宋体" w:eastAsia="华文宋体" w:cs="华文宋体"/>
          <w:color w:val="FF0000"/>
          <w:kern w:val="2"/>
          <w:sz w:val="24"/>
          <w:szCs w:val="24"/>
          <w:lang w:val="en-US" w:eastAsia="zh-CN" w:bidi="ar-SA"/>
        </w:rPr>
        <w:t>（注：未在规定时间内进行解密。视为无效响应，风险自行承担！响应文件与报价一览表，加密后再上传。未进行加密上传，风险自行承担！）。</w:t>
      </w:r>
    </w:p>
    <w:p w14:paraId="1B6DEE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08555"/>
            <wp:effectExtent l="0" t="0" r="381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9F7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</w:pPr>
      <w:bookmarkStart w:id="9" w:name="_Toc14449"/>
      <w:r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  <w:t>6.响应文件解密</w:t>
      </w:r>
      <w:bookmarkEnd w:id="9"/>
    </w:p>
    <w:p w14:paraId="25BF7D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t xml:space="preserve">  文件响应时间结束后，再次登录“小额零星采购竞价信息网”，进行响应文件的解密，点击【立即文件解密】按钮进入页面。</w:t>
      </w:r>
    </w:p>
    <w:p w14:paraId="57774C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4150" cy="2315210"/>
            <wp:effectExtent l="0" t="0" r="12700" b="889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9EC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华文宋体" w:hAnsi="华文宋体" w:eastAsia="华文宋体" w:cs="华文宋体"/>
          <w:color w:val="FF0000"/>
          <w:kern w:val="2"/>
          <w:sz w:val="24"/>
          <w:szCs w:val="24"/>
          <w:lang w:val="en-US" w:eastAsia="zh-CN" w:bidi="ar-SA"/>
        </w:rPr>
      </w:pP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t>填写报价、响应文件解密密码、报价一览表解密密码，点击【响应文件解密】按钮，即可完成响应文件解密操作</w:t>
      </w:r>
      <w:r>
        <w:rPr>
          <w:rFonts w:hint="eastAsia" w:ascii="华文宋体" w:hAnsi="华文宋体" w:eastAsia="华文宋体" w:cs="华文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华文宋体" w:hAnsi="华文宋体" w:eastAsia="华文宋体" w:cs="华文宋体"/>
          <w:color w:val="FF0000"/>
          <w:kern w:val="2"/>
          <w:sz w:val="24"/>
          <w:szCs w:val="24"/>
          <w:lang w:val="en-US" w:eastAsia="zh-CN" w:bidi="ar-SA"/>
        </w:rPr>
        <w:t>（注：填写的报价金额必须与响应文件及报价一览表中金额一致。填写的文件密码要能正常打开文件，否则视为无效竞价，风险自行承担）。</w:t>
      </w:r>
    </w:p>
    <w:p w14:paraId="0AA5FF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2408555"/>
            <wp:effectExtent l="0" t="0" r="3810" b="44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2A0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</w:pPr>
      <w:r>
        <w:rPr>
          <w:rFonts w:hint="eastAsia" w:ascii="华文宋体" w:hAnsi="华文宋体" w:eastAsia="华文宋体" w:cs="华文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供应商提交响应文件密码后，可以下载其他供应商的加密报价一览表；</w:t>
      </w: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t>响应文件解密时间截止后，将会流转至采购人进行竞价结果的评审环节。</w:t>
      </w:r>
      <w:r>
        <w:rPr>
          <w:rFonts w:hint="eastAsia" w:ascii="华文宋体" w:hAnsi="华文宋体" w:eastAsia="华文宋体" w:cs="华文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待采购单位发布结果公告后，会公布所有供应商的报价信息及报价一览表密码。</w:t>
      </w:r>
    </w:p>
    <w:p w14:paraId="71F275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2408555"/>
            <wp:effectExtent l="0" t="0" r="3810" b="44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C79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</w:pPr>
      <w:bookmarkStart w:id="10" w:name="_Toc29368"/>
      <w:r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  <w:t>7.竞价结果公告查询</w:t>
      </w:r>
      <w:bookmarkEnd w:id="10"/>
    </w:p>
    <w:p w14:paraId="053A2C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default" w:ascii="华文宋体" w:hAnsi="华文宋体" w:eastAsia="华文宋体" w:cs="华文宋体"/>
          <w:kern w:val="2"/>
          <w:sz w:val="24"/>
          <w:szCs w:val="24"/>
          <w:lang w:val="en-US" w:eastAsia="zh-CN" w:bidi="ar-SA"/>
        </w:rPr>
      </w:pP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t>第①种方式：登录小额零星采购竞价信息网，进入“小额零星采购管理-竞价项目”菜单，选择“已响应”页签，点击【查看竞价信息】按钮进入页面查看竞价结果，会显示所有参与竞价供应商的报价一览表和密码，支持下载和查看。</w:t>
      </w:r>
    </w:p>
    <w:p w14:paraId="261312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</w:pPr>
      <w:r>
        <w:drawing>
          <wp:inline distT="0" distB="0" distL="114300" distR="114300">
            <wp:extent cx="5266690" cy="2520950"/>
            <wp:effectExtent l="0" t="0" r="10160" b="1270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408555"/>
            <wp:effectExtent l="0" t="0" r="3810" b="444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2BF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</w:pP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t>第②种方式：进入【吉首大学】-【采购与招投标办公室】官网：</w:t>
      </w: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instrText xml:space="preserve"> HYPERLINK "https://caigzx.jsu.edu.cn/。" </w:instrText>
      </w: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Style w:val="12"/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t>https://caigzx.jsu.edu.cn/。</w:t>
      </w: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t>从官网进入“小额零星采购竞价信息网”。点击【竞价结果】页签查看结果公告。</w:t>
      </w:r>
    </w:p>
    <w:p w14:paraId="66BB41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</w:pPr>
      <w:r>
        <w:drawing>
          <wp:inline distT="0" distB="0" distL="114300" distR="114300">
            <wp:extent cx="5266690" cy="2523490"/>
            <wp:effectExtent l="0" t="0" r="10160" b="1016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911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</w:pPr>
      <w:bookmarkStart w:id="11" w:name="_Toc10781"/>
      <w:r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  <w:t>8.成交通知书下载</w:t>
      </w:r>
      <w:bookmarkEnd w:id="11"/>
    </w:p>
    <w:p w14:paraId="4B3B30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t>登录小额零星采购竞价信息网，进入“小额零星采购管理-竞价已成交项目”菜单选择“竞价结果”页签，点击【查看竞价信息】按钮进入查看。</w:t>
      </w:r>
    </w:p>
    <w:p w14:paraId="460D30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</w:pPr>
      <w:r>
        <w:drawing>
          <wp:inline distT="0" distB="0" distL="114300" distR="114300">
            <wp:extent cx="5266690" cy="2510155"/>
            <wp:effectExtent l="0" t="0" r="10160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5CF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</w:pPr>
      <w:bookmarkStart w:id="12" w:name="_Toc24045"/>
      <w:r>
        <w:rPr>
          <w:rFonts w:hint="eastAsia" w:ascii="华文中宋" w:hAnsi="华文中宋" w:eastAsia="华文中宋" w:cs="华文中宋"/>
          <w:b w:val="0"/>
          <w:bCs w:val="0"/>
          <w:sz w:val="28"/>
          <w:szCs w:val="28"/>
          <w:lang w:val="en-US" w:eastAsia="zh-CN"/>
        </w:rPr>
        <w:t>9.终止公告查询</w:t>
      </w:r>
      <w:bookmarkEnd w:id="12"/>
    </w:p>
    <w:p w14:paraId="1F4060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</w:pP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t>进入【吉首大学】-【采购与招投标办公室】官网：</w:t>
      </w: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instrText xml:space="preserve"> HYPERLINK "https://caigzx.jsu.edu.cn/。" </w:instrText>
      </w: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Style w:val="12"/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t>https://caigzx.jsu.edu.cn/</w:t>
      </w:r>
      <w:r>
        <w:rPr>
          <w:rStyle w:val="12"/>
          <w:rFonts w:hint="eastAsia" w:ascii="华文宋体" w:hAnsi="华文宋体" w:eastAsia="华文宋体" w:cs="华文宋体"/>
          <w:color w:val="000000" w:themeColor="text1"/>
          <w:kern w:val="2"/>
          <w:sz w:val="24"/>
          <w:szCs w:val="24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t>点击【竞价信息】进入公告列表，点击【终止公告】查看相关公告信息。</w:t>
      </w:r>
    </w:p>
    <w:p w14:paraId="0CE016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5266690" cy="2518410"/>
            <wp:effectExtent l="0" t="0" r="10160" b="1524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FF0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eastAsia"/>
          <w:lang w:val="en-US" w:eastAsia="zh-CN"/>
        </w:rPr>
      </w:pPr>
    </w:p>
    <w:p w14:paraId="5C7926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5FC24E">
    <w:pPr>
      <w:pStyle w:val="5"/>
      <w:rPr>
        <w:rFonts w:hint="eastAsia" w:ascii="黑体" w:hAnsi="黑体" w:eastAsia="黑体" w:cs="黑体"/>
        <w:sz w:val="21"/>
        <w:szCs w:val="21"/>
        <w:lang w:val="en-US" w:eastAsia="zh-CN"/>
      </w:rPr>
    </w:pPr>
    <w:r>
      <w:rPr>
        <w:rFonts w:hint="eastAsia" w:ascii="黑体" w:hAnsi="黑体" w:eastAsia="黑体" w:cs="黑体"/>
        <w:sz w:val="21"/>
        <w:szCs w:val="21"/>
        <w:lang w:val="en-US" w:eastAsia="zh-CN"/>
      </w:rPr>
      <w:t xml:space="preserve">吉首大学：小额零星采购竞价平台                                      </w:t>
    </w:r>
  </w:p>
  <w:p w14:paraId="59D41C87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1MWZiYWFiODRjZGM5ZWFhNmMzY2Y4Y2Y5NTY5NjgifQ=="/>
  </w:docVars>
  <w:rsids>
    <w:rsidRoot w:val="64591EA1"/>
    <w:rsid w:val="004E65E4"/>
    <w:rsid w:val="005539A0"/>
    <w:rsid w:val="006D340E"/>
    <w:rsid w:val="01355984"/>
    <w:rsid w:val="01634E8B"/>
    <w:rsid w:val="01EE7202"/>
    <w:rsid w:val="02722D64"/>
    <w:rsid w:val="02DE0E3A"/>
    <w:rsid w:val="03726617"/>
    <w:rsid w:val="03A34A22"/>
    <w:rsid w:val="03D57856"/>
    <w:rsid w:val="04812FB5"/>
    <w:rsid w:val="04E457F9"/>
    <w:rsid w:val="04F27DA7"/>
    <w:rsid w:val="05B94134"/>
    <w:rsid w:val="070A70F5"/>
    <w:rsid w:val="08D5567E"/>
    <w:rsid w:val="08DE6339"/>
    <w:rsid w:val="0BC318E0"/>
    <w:rsid w:val="0E3C7F4D"/>
    <w:rsid w:val="0E91006F"/>
    <w:rsid w:val="102667D7"/>
    <w:rsid w:val="13877EBC"/>
    <w:rsid w:val="16225C7A"/>
    <w:rsid w:val="16870D8E"/>
    <w:rsid w:val="1A6E0652"/>
    <w:rsid w:val="1A8404F8"/>
    <w:rsid w:val="1AFF4D9D"/>
    <w:rsid w:val="1BF9656A"/>
    <w:rsid w:val="1D6342C6"/>
    <w:rsid w:val="1F0942A5"/>
    <w:rsid w:val="23726EB4"/>
    <w:rsid w:val="240F75BA"/>
    <w:rsid w:val="271467FE"/>
    <w:rsid w:val="27C67570"/>
    <w:rsid w:val="27D56FF1"/>
    <w:rsid w:val="28720544"/>
    <w:rsid w:val="287A00E8"/>
    <w:rsid w:val="2928500F"/>
    <w:rsid w:val="2B764647"/>
    <w:rsid w:val="2CEE645F"/>
    <w:rsid w:val="2D3346DA"/>
    <w:rsid w:val="2EDC6EB7"/>
    <w:rsid w:val="31D923AD"/>
    <w:rsid w:val="323B3EF4"/>
    <w:rsid w:val="32700042"/>
    <w:rsid w:val="364A5D34"/>
    <w:rsid w:val="36982066"/>
    <w:rsid w:val="381A61E6"/>
    <w:rsid w:val="38A722E3"/>
    <w:rsid w:val="3B0C4680"/>
    <w:rsid w:val="3B227097"/>
    <w:rsid w:val="3F9E23FA"/>
    <w:rsid w:val="40CD288C"/>
    <w:rsid w:val="428A508D"/>
    <w:rsid w:val="4290618A"/>
    <w:rsid w:val="4344263B"/>
    <w:rsid w:val="43B81203"/>
    <w:rsid w:val="441F0B81"/>
    <w:rsid w:val="44AC2A30"/>
    <w:rsid w:val="44E64193"/>
    <w:rsid w:val="45C76212"/>
    <w:rsid w:val="45FC37B6"/>
    <w:rsid w:val="479D6EF3"/>
    <w:rsid w:val="47AF7221"/>
    <w:rsid w:val="48851592"/>
    <w:rsid w:val="49011A96"/>
    <w:rsid w:val="49277653"/>
    <w:rsid w:val="4A4C2CEB"/>
    <w:rsid w:val="4AA06B93"/>
    <w:rsid w:val="4DD26765"/>
    <w:rsid w:val="51134562"/>
    <w:rsid w:val="52F77989"/>
    <w:rsid w:val="532F0AEC"/>
    <w:rsid w:val="53542C10"/>
    <w:rsid w:val="55B94FAC"/>
    <w:rsid w:val="55C67B6F"/>
    <w:rsid w:val="5AF01470"/>
    <w:rsid w:val="5C6A7000"/>
    <w:rsid w:val="5E502159"/>
    <w:rsid w:val="5FA82319"/>
    <w:rsid w:val="5FD53B97"/>
    <w:rsid w:val="603744AB"/>
    <w:rsid w:val="607A0062"/>
    <w:rsid w:val="61A608C6"/>
    <w:rsid w:val="623B56C7"/>
    <w:rsid w:val="63B219B9"/>
    <w:rsid w:val="64591EA1"/>
    <w:rsid w:val="64A07437"/>
    <w:rsid w:val="676254A4"/>
    <w:rsid w:val="694D3164"/>
    <w:rsid w:val="6A220F1A"/>
    <w:rsid w:val="6AE6019A"/>
    <w:rsid w:val="6CE45AD4"/>
    <w:rsid w:val="6DF20121"/>
    <w:rsid w:val="6E3B0980"/>
    <w:rsid w:val="6EBD15FB"/>
    <w:rsid w:val="6EC66318"/>
    <w:rsid w:val="6FC0396E"/>
    <w:rsid w:val="6FED2750"/>
    <w:rsid w:val="706B46FB"/>
    <w:rsid w:val="72267A54"/>
    <w:rsid w:val="72850298"/>
    <w:rsid w:val="729324E0"/>
    <w:rsid w:val="755E73A9"/>
    <w:rsid w:val="7718792D"/>
    <w:rsid w:val="77286E27"/>
    <w:rsid w:val="78482494"/>
    <w:rsid w:val="78A80BE9"/>
    <w:rsid w:val="78D12489"/>
    <w:rsid w:val="7A044199"/>
    <w:rsid w:val="7A0D5743"/>
    <w:rsid w:val="7BFC4340"/>
    <w:rsid w:val="7C254D31"/>
    <w:rsid w:val="7C542B44"/>
    <w:rsid w:val="7D6078A5"/>
    <w:rsid w:val="7E4F6E98"/>
    <w:rsid w:val="7ED3011A"/>
    <w:rsid w:val="7EFB4DDC"/>
    <w:rsid w:val="7FEA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qFormat/>
    <w:uiPriority w:val="0"/>
    <w:pPr>
      <w:ind w:left="840" w:leftChars="4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paragraph" w:customStyle="1" w:styleId="13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4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5">
    <w:name w:val="GP（正文）"/>
    <w:basedOn w:val="1"/>
    <w:qFormat/>
    <w:uiPriority w:val="0"/>
    <w:pPr>
      <w:adjustRightInd w:val="0"/>
      <w:snapToGrid w:val="0"/>
      <w:spacing w:beforeLines="30"/>
      <w:ind w:firstLine="200" w:firstLineChars="200"/>
    </w:pPr>
    <w:rPr>
      <w:rFonts w:ascii="Arial" w:hAnsi="Arial" w:eastAsia="微软雅黑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1259</Words>
  <Characters>1465</Characters>
  <Lines>0</Lines>
  <Paragraphs>0</Paragraphs>
  <TotalTime>0</TotalTime>
  <ScaleCrop>false</ScaleCrop>
  <LinksUpToDate>false</LinksUpToDate>
  <CharactersWithSpaces>1498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2021-09-25T07:31:00Z</dcterms:created>
  <dc:creator>黄双林</dc:creator>
  <cp:lastModifiedBy>小紫</cp:lastModifiedBy>
  <dcterms:modified xsi:type="dcterms:W3CDTF">2025-09-14T10:57:14Z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94005CFA12E04FB7AFED85FDF47946E8</vt:lpwstr>
  </property>
  <property fmtid="{D5CDD505-2E9C-101B-9397-08002B2CF9AE}" pid="4" name="KSOTemplateDocerSaveRecord">
    <vt:lpwstr>eyJoZGlkIjoiODk2ODhjNzAxOTUwY2E1MGI3OWE0NWYzZDVlNDc2NGMiLCJ1c2VySWQiOiIxMTI0MTgyOTAyIn0=</vt:lpwstr>
  </property>
</Properties>
</file>