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24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60" w:lineRule="exact"/>
        <w:ind w:right="0"/>
        <w:jc w:val="center"/>
        <w:textAlignment w:val="auto"/>
        <w:rPr>
          <w:rFonts w:ascii="微软雅黑" w:hAnsi="微软雅黑" w:eastAsia="微软雅黑" w:cs="微软雅黑"/>
          <w:i w:val="0"/>
          <w:iCs w:val="0"/>
          <w:caps w:val="0"/>
          <w:color w:val="000000"/>
          <w:spacing w:val="0"/>
          <w:sz w:val="27"/>
          <w:szCs w:val="27"/>
        </w:rPr>
      </w:pPr>
      <w:r>
        <w:rPr>
          <w:rFonts w:ascii="方正小标宋_GBK" w:hAnsi="方正小标宋_GBK" w:eastAsia="方正小标宋_GBK" w:cs="方正小标宋_GBK"/>
          <w:i w:val="0"/>
          <w:iCs w:val="0"/>
          <w:caps w:val="0"/>
          <w:color w:val="FF0000"/>
          <w:spacing w:val="40"/>
          <w:kern w:val="0"/>
          <w:sz w:val="96"/>
          <w:szCs w:val="96"/>
          <w:lang w:val="en-US" w:eastAsia="zh-CN" w:bidi="ar"/>
        </w:rPr>
        <w:t>湖</w:t>
      </w:r>
      <w:r>
        <w:rPr>
          <w:rFonts w:hint="default" w:ascii="方正小标宋_GBK" w:hAnsi="方正小标宋_GBK" w:eastAsia="方正小标宋_GBK" w:cs="方正小标宋_GBK"/>
          <w:i w:val="0"/>
          <w:iCs w:val="0"/>
          <w:caps w:val="0"/>
          <w:color w:val="FF0000"/>
          <w:spacing w:val="40"/>
          <w:kern w:val="0"/>
          <w:sz w:val="96"/>
          <w:szCs w:val="96"/>
          <w:lang w:val="en-US" w:eastAsia="zh-CN" w:bidi="ar"/>
        </w:rPr>
        <w:t>南省财政</w:t>
      </w:r>
      <w:r>
        <w:rPr>
          <w:rFonts w:hint="default" w:ascii="方正小标宋_GBK" w:hAnsi="方正小标宋_GBK" w:eastAsia="方正小标宋_GBK" w:cs="方正小标宋_GBK"/>
          <w:i w:val="0"/>
          <w:iCs w:val="0"/>
          <w:caps w:val="0"/>
          <w:color w:val="FF0000"/>
          <w:spacing w:val="0"/>
          <w:kern w:val="0"/>
          <w:sz w:val="96"/>
          <w:szCs w:val="96"/>
          <w:lang w:val="en-US" w:eastAsia="zh-CN" w:bidi="ar"/>
        </w:rPr>
        <w:t>厅</w:t>
      </w:r>
    </w:p>
    <w:p w14:paraId="1F999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kern w:val="0"/>
          <w:sz w:val="32"/>
          <w:szCs w:val="32"/>
          <w:lang w:val="en-US" w:eastAsia="zh-CN" w:bidi="ar"/>
        </w:rPr>
        <w:t>湘</w:t>
      </w:r>
      <w:r>
        <w:rPr>
          <w:rFonts w:hint="default" w:ascii="仿宋_GB2312" w:hAnsi="Times New Roman" w:eastAsia="仿宋_GB2312" w:cs="仿宋_GB2312"/>
          <w:i w:val="0"/>
          <w:iCs w:val="0"/>
          <w:caps w:val="0"/>
          <w:color w:val="000000"/>
          <w:spacing w:val="0"/>
          <w:kern w:val="0"/>
          <w:sz w:val="32"/>
          <w:szCs w:val="32"/>
          <w:lang w:val="en-US" w:eastAsia="zh-CN" w:bidi="ar"/>
        </w:rPr>
        <w:t>财购函〔</w:t>
      </w:r>
      <w:r>
        <w:rPr>
          <w:rFonts w:hint="default" w:ascii="Times New Roman" w:hAnsi="Times New Roman" w:eastAsia="微软雅黑" w:cs="Times New Roman"/>
          <w:i w:val="0"/>
          <w:iCs w:val="0"/>
          <w:caps w:val="0"/>
          <w:color w:val="000000"/>
          <w:spacing w:val="-6"/>
          <w:kern w:val="0"/>
          <w:sz w:val="32"/>
          <w:szCs w:val="32"/>
          <w:lang w:val="en-US" w:eastAsia="zh-CN" w:bidi="ar"/>
        </w:rPr>
        <w:t>2024</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17</w:t>
      </w:r>
      <w:r>
        <w:rPr>
          <w:rFonts w:hint="default" w:ascii="仿宋_GB2312" w:hAnsi="Times New Roman" w:eastAsia="仿宋_GB2312" w:cs="仿宋_GB2312"/>
          <w:i w:val="0"/>
          <w:iCs w:val="0"/>
          <w:caps w:val="0"/>
          <w:color w:val="000000"/>
          <w:spacing w:val="0"/>
          <w:kern w:val="0"/>
          <w:sz w:val="32"/>
          <w:szCs w:val="32"/>
          <w:lang w:val="en-US" w:eastAsia="zh-CN" w:bidi="ar"/>
        </w:rPr>
        <w:t>号</w:t>
      </w:r>
    </w:p>
    <w:p w14:paraId="37AB9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hint="default" w:ascii="方正小标宋_GBK" w:hAnsi="方正小标宋_GBK" w:eastAsia="方正小标宋_GBK" w:cs="方正小标宋_GBK"/>
          <w:i w:val="0"/>
          <w:iCs w:val="0"/>
          <w:caps w:val="0"/>
          <w:color w:val="000000"/>
          <w:spacing w:val="0"/>
          <w:kern w:val="0"/>
          <w:sz w:val="44"/>
          <w:szCs w:val="44"/>
          <w:lang w:val="en-US" w:eastAsia="zh-CN" w:bidi="ar"/>
        </w:rPr>
      </w:pPr>
      <w:r>
        <w:rPr>
          <w:rFonts w:hint="default" w:ascii="Times New Roman" w:hAnsi="Times New Roman" w:eastAsia="微软雅黑" w:cs="Times New Roman"/>
          <w:i w:val="0"/>
          <w:iCs w:val="0"/>
          <w:caps w:val="0"/>
          <w:color w:val="000000"/>
          <w:spacing w:val="0"/>
          <w:kern w:val="0"/>
          <w:sz w:val="44"/>
          <w:szCs w:val="44"/>
          <w:lang w:val="en-US" w:eastAsia="zh-CN" w:bidi="ar"/>
        </w:rPr>
        <w:t> </w:t>
      </w:r>
    </w:p>
    <w:p w14:paraId="3785A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微软雅黑" w:hAnsi="微软雅黑" w:eastAsia="微软雅黑" w:cs="微软雅黑"/>
          <w:i w:val="0"/>
          <w:iCs w:val="0"/>
          <w:caps w:val="0"/>
          <w:color w:val="000000"/>
          <w:spacing w:val="0"/>
          <w:sz w:val="27"/>
          <w:szCs w:val="27"/>
        </w:rPr>
      </w:pPr>
      <w:bookmarkStart w:id="0" w:name="_GoBack"/>
      <w:r>
        <w:rPr>
          <w:rFonts w:hint="default" w:ascii="方正小标宋_GBK" w:hAnsi="方正小标宋_GBK" w:eastAsia="方正小标宋_GBK" w:cs="方正小标宋_GBK"/>
          <w:i w:val="0"/>
          <w:iCs w:val="0"/>
          <w:caps w:val="0"/>
          <w:color w:val="000000"/>
          <w:spacing w:val="0"/>
          <w:kern w:val="0"/>
          <w:sz w:val="44"/>
          <w:szCs w:val="44"/>
          <w:lang w:val="en-US" w:eastAsia="zh-CN" w:bidi="ar"/>
        </w:rPr>
        <w:t>关于进一步规范小额零星采购活动的通知</w:t>
      </w:r>
    </w:p>
    <w:bookmarkEnd w:id="0"/>
    <w:p w14:paraId="22C6D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left"/>
        <w:textAlignment w:val="auto"/>
        <w:rPr>
          <w:rFonts w:hint="default" w:ascii="仿宋_GB2312" w:hAnsi="Times New Roman" w:eastAsia="仿宋_GB2312" w:cs="仿宋_GB2312"/>
          <w:b/>
          <w:bCs/>
          <w:i w:val="0"/>
          <w:iCs w:val="0"/>
          <w:caps w:val="0"/>
          <w:color w:val="000000"/>
          <w:spacing w:val="0"/>
          <w:kern w:val="0"/>
          <w:sz w:val="32"/>
          <w:szCs w:val="32"/>
          <w:lang w:val="en-US" w:eastAsia="zh-CN" w:bidi="ar"/>
        </w:rPr>
      </w:pPr>
    </w:p>
    <w:p w14:paraId="1B601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仿宋" w:hAnsi="仿宋" w:eastAsia="仿宋" w:cs="仿宋"/>
          <w:b/>
          <w:bCs/>
          <w:i w:val="0"/>
          <w:iCs w:val="0"/>
          <w:caps w:val="0"/>
          <w:color w:val="000000"/>
          <w:spacing w:val="0"/>
          <w:sz w:val="36"/>
          <w:szCs w:val="36"/>
        </w:rPr>
      </w:pPr>
      <w:r>
        <w:rPr>
          <w:rFonts w:hint="eastAsia" w:ascii="仿宋" w:hAnsi="仿宋" w:eastAsia="仿宋" w:cs="仿宋"/>
          <w:b/>
          <w:bCs/>
          <w:i w:val="0"/>
          <w:iCs w:val="0"/>
          <w:caps w:val="0"/>
          <w:color w:val="000000"/>
          <w:spacing w:val="0"/>
          <w:kern w:val="0"/>
          <w:sz w:val="36"/>
          <w:szCs w:val="36"/>
          <w:lang w:val="en-US" w:eastAsia="zh-CN" w:bidi="ar"/>
        </w:rPr>
        <w:t>各市州、县市区财政局，省直各预算单位：</w:t>
      </w:r>
    </w:p>
    <w:p w14:paraId="17E6D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i w:val="0"/>
          <w:iCs w:val="0"/>
          <w:caps w:val="0"/>
          <w:color w:val="000000"/>
          <w:spacing w:val="0"/>
          <w:kern w:val="0"/>
          <w:sz w:val="36"/>
          <w:szCs w:val="36"/>
          <w:lang w:val="en-US" w:eastAsia="zh-CN" w:bidi="ar"/>
        </w:rPr>
        <w:t>为进一步规范小额零星采购活动，落实党政机关习惯过“紧日子”要求，实现“优质优价”采购目标，降低行政运行成本，现将有关事项通知如下：</w:t>
      </w:r>
    </w:p>
    <w:p w14:paraId="516E0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b w:val="0"/>
          <w:bCs w:val="0"/>
          <w:i w:val="0"/>
          <w:iCs w:val="0"/>
          <w:caps w:val="0"/>
          <w:color w:val="000000"/>
          <w:spacing w:val="0"/>
          <w:kern w:val="0"/>
          <w:sz w:val="36"/>
          <w:szCs w:val="36"/>
          <w:lang w:val="en-US" w:eastAsia="zh-CN" w:bidi="ar"/>
        </w:rPr>
        <w:t>一、明确界定采购范围</w:t>
      </w:r>
    </w:p>
    <w:p w14:paraId="63467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i w:val="0"/>
          <w:iCs w:val="0"/>
          <w:caps w:val="0"/>
          <w:color w:val="000000"/>
          <w:spacing w:val="0"/>
          <w:kern w:val="0"/>
          <w:sz w:val="36"/>
          <w:szCs w:val="36"/>
          <w:lang w:val="en-US" w:eastAsia="zh-CN" w:bidi="ar"/>
        </w:rPr>
        <w:t>本《通知》所指</w:t>
      </w:r>
      <w:r>
        <w:rPr>
          <w:rFonts w:hint="eastAsia" w:ascii="仿宋" w:hAnsi="仿宋" w:eastAsia="仿宋" w:cs="仿宋"/>
          <w:b w:val="0"/>
          <w:bCs w:val="0"/>
          <w:i w:val="0"/>
          <w:iCs w:val="0"/>
          <w:caps w:val="0"/>
          <w:color w:val="000000"/>
          <w:spacing w:val="0"/>
          <w:kern w:val="0"/>
          <w:sz w:val="36"/>
          <w:szCs w:val="36"/>
          <w:lang w:val="en-US" w:eastAsia="zh-CN" w:bidi="ar"/>
        </w:rPr>
        <w:t>“小额零星采购”，</w:t>
      </w:r>
      <w:r>
        <w:rPr>
          <w:rFonts w:hint="eastAsia" w:ascii="仿宋" w:hAnsi="仿宋" w:eastAsia="仿宋" w:cs="仿宋"/>
          <w:i w:val="0"/>
          <w:iCs w:val="0"/>
          <w:caps w:val="0"/>
          <w:color w:val="000000"/>
          <w:spacing w:val="0"/>
          <w:kern w:val="0"/>
          <w:sz w:val="36"/>
          <w:szCs w:val="36"/>
          <w:lang w:val="en-US" w:eastAsia="zh-CN" w:bidi="ar"/>
        </w:rPr>
        <w:t>是指集中采购目录以外，政府采购限额标准以下的货物、工程和服务项目。在一个财政年度内，各预算单位不得将一个预算项目下的同一品目或者同类别的货物、服务或工程进行拆分导致每个采购项目均未达到采购限额标准来规避政府采购。</w:t>
      </w:r>
    </w:p>
    <w:p w14:paraId="3E8B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b w:val="0"/>
          <w:bCs w:val="0"/>
          <w:i w:val="0"/>
          <w:iCs w:val="0"/>
          <w:caps w:val="0"/>
          <w:color w:val="000000"/>
          <w:spacing w:val="0"/>
          <w:kern w:val="0"/>
          <w:sz w:val="36"/>
          <w:szCs w:val="36"/>
          <w:lang w:val="en-US" w:eastAsia="zh-CN" w:bidi="ar"/>
        </w:rPr>
        <w:t>二、切实加强内控管理</w:t>
      </w:r>
    </w:p>
    <w:p w14:paraId="62F73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i w:val="0"/>
          <w:iCs w:val="0"/>
          <w:caps w:val="0"/>
          <w:color w:val="000000"/>
          <w:spacing w:val="0"/>
          <w:kern w:val="0"/>
          <w:sz w:val="36"/>
          <w:szCs w:val="36"/>
          <w:lang w:val="en-US" w:eastAsia="zh-CN" w:bidi="ar"/>
        </w:rPr>
        <w:t>预算单位应建立健全内控制度，把小额零星采购纳入内控管理。按照“谁采购、谁负责”的要求，切实履行好采购人对采购需求和采购结果负责等主体责任。</w:t>
      </w:r>
    </w:p>
    <w:p w14:paraId="13CC0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b w:val="0"/>
          <w:bCs w:val="0"/>
          <w:i w:val="0"/>
          <w:iCs w:val="0"/>
          <w:caps w:val="0"/>
          <w:color w:val="000000"/>
          <w:spacing w:val="0"/>
          <w:kern w:val="0"/>
          <w:sz w:val="36"/>
          <w:szCs w:val="36"/>
          <w:lang w:val="en-US" w:eastAsia="zh-CN" w:bidi="ar"/>
        </w:rPr>
        <w:t>三、规范小额零星采购</w:t>
      </w:r>
    </w:p>
    <w:p w14:paraId="2F1D8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i w:val="0"/>
          <w:iCs w:val="0"/>
          <w:caps w:val="0"/>
          <w:color w:val="000000"/>
          <w:spacing w:val="0"/>
          <w:kern w:val="0"/>
          <w:sz w:val="36"/>
          <w:szCs w:val="36"/>
          <w:lang w:val="en-US" w:eastAsia="zh-CN" w:bidi="ar"/>
        </w:rPr>
        <w:t>主管部门统筹本部门（系统）采购预算、采购需求，合理确定采购方式（框架协议采购、批量集采等）。预算单位根据主管部门要求和内控制度自主选择在电子卖场或电商平台、实体商店组织实施采购活动。</w:t>
      </w:r>
    </w:p>
    <w:p w14:paraId="03A68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i w:val="0"/>
          <w:iCs w:val="0"/>
          <w:caps w:val="0"/>
          <w:color w:val="000000"/>
          <w:spacing w:val="0"/>
          <w:kern w:val="0"/>
          <w:sz w:val="36"/>
          <w:szCs w:val="36"/>
          <w:lang w:val="en-US" w:eastAsia="zh-CN" w:bidi="ar"/>
        </w:rPr>
        <w:t> </w:t>
      </w:r>
    </w:p>
    <w:p w14:paraId="250C4B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i w:val="0"/>
          <w:iCs w:val="0"/>
          <w:caps w:val="0"/>
          <w:color w:val="000000"/>
          <w:spacing w:val="0"/>
          <w:sz w:val="36"/>
          <w:szCs w:val="36"/>
        </w:rPr>
        <w:t> </w:t>
      </w:r>
    </w:p>
    <w:p w14:paraId="33DD8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rFonts w:hint="eastAsia" w:ascii="仿宋" w:hAnsi="仿宋" w:eastAsia="仿宋" w:cs="仿宋"/>
          <w:b/>
          <w:bCs/>
          <w:i w:val="0"/>
          <w:iCs w:val="0"/>
          <w:caps w:val="0"/>
          <w:color w:val="000000"/>
          <w:spacing w:val="0"/>
          <w:sz w:val="36"/>
          <w:szCs w:val="36"/>
        </w:rPr>
      </w:pPr>
      <w:r>
        <w:rPr>
          <w:rFonts w:hint="eastAsia" w:ascii="仿宋" w:hAnsi="仿宋" w:eastAsia="仿宋" w:cs="仿宋"/>
          <w:i w:val="0"/>
          <w:iCs w:val="0"/>
          <w:caps w:val="0"/>
          <w:color w:val="000000"/>
          <w:spacing w:val="0"/>
          <w:kern w:val="0"/>
          <w:sz w:val="36"/>
          <w:szCs w:val="36"/>
          <w:lang w:val="en-US" w:eastAsia="zh-CN" w:bidi="ar"/>
        </w:rPr>
        <w:t xml:space="preserve">                                     </w:t>
      </w:r>
      <w:r>
        <w:rPr>
          <w:rFonts w:hint="eastAsia" w:ascii="仿宋" w:hAnsi="仿宋" w:eastAsia="仿宋" w:cs="仿宋"/>
          <w:b/>
          <w:bCs/>
          <w:i w:val="0"/>
          <w:iCs w:val="0"/>
          <w:caps w:val="0"/>
          <w:color w:val="000000"/>
          <w:spacing w:val="0"/>
          <w:kern w:val="0"/>
          <w:sz w:val="36"/>
          <w:szCs w:val="36"/>
          <w:lang w:val="en-US" w:eastAsia="zh-CN" w:bidi="ar"/>
        </w:rPr>
        <w:t>湖南省财政厅</w:t>
      </w:r>
    </w:p>
    <w:p w14:paraId="05ECF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3" w:firstLineChars="200"/>
        <w:jc w:val="left"/>
        <w:textAlignment w:val="auto"/>
        <w:rPr>
          <w:rFonts w:hint="eastAsia" w:ascii="仿宋" w:hAnsi="仿宋" w:eastAsia="仿宋" w:cs="仿宋"/>
          <w:b/>
          <w:bCs/>
          <w:i w:val="0"/>
          <w:iCs w:val="0"/>
          <w:caps w:val="0"/>
          <w:color w:val="000000"/>
          <w:spacing w:val="0"/>
          <w:sz w:val="36"/>
          <w:szCs w:val="36"/>
        </w:rPr>
      </w:pPr>
      <w:r>
        <w:rPr>
          <w:rFonts w:hint="eastAsia" w:ascii="仿宋" w:hAnsi="仿宋" w:eastAsia="仿宋" w:cs="仿宋"/>
          <w:b/>
          <w:bCs/>
          <w:i w:val="0"/>
          <w:iCs w:val="0"/>
          <w:caps w:val="0"/>
          <w:color w:val="000000"/>
          <w:spacing w:val="0"/>
          <w:kern w:val="0"/>
          <w:sz w:val="36"/>
          <w:szCs w:val="36"/>
          <w:lang w:val="en-US" w:eastAsia="zh-CN" w:bidi="ar"/>
        </w:rPr>
        <w:t>                                   2024年7月26日</w:t>
      </w:r>
    </w:p>
    <w:p w14:paraId="4A5CC098">
      <w:pPr>
        <w:keepNext w:val="0"/>
        <w:keepLines w:val="0"/>
        <w:pageBreakBefore w:val="0"/>
        <w:kinsoku/>
        <w:wordWrap/>
        <w:overflowPunct/>
        <w:topLinePunct w:val="0"/>
        <w:autoSpaceDE/>
        <w:autoSpaceDN/>
        <w:bidi w:val="0"/>
        <w:adjustRightInd/>
        <w:snapToGrid/>
        <w:spacing w:beforeAutospacing="0" w:afterAutospacing="0" w:line="580" w:lineRule="exact"/>
        <w:ind w:firstLine="720" w:firstLineChars="200"/>
        <w:textAlignment w:val="auto"/>
        <w:rPr>
          <w:rFonts w:hint="eastAsia" w:ascii="仿宋" w:hAnsi="仿宋" w:eastAsia="仿宋" w:cs="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675CC"/>
    <w:rsid w:val="0662564C"/>
    <w:rsid w:val="0CE91F70"/>
    <w:rsid w:val="0E6F0323"/>
    <w:rsid w:val="12C65D34"/>
    <w:rsid w:val="15802E15"/>
    <w:rsid w:val="18664544"/>
    <w:rsid w:val="2630659C"/>
    <w:rsid w:val="2C7A2F19"/>
    <w:rsid w:val="2D0803FA"/>
    <w:rsid w:val="34DD2C0B"/>
    <w:rsid w:val="3623361D"/>
    <w:rsid w:val="38D37F4B"/>
    <w:rsid w:val="3D361E88"/>
    <w:rsid w:val="42AF39A5"/>
    <w:rsid w:val="49494C29"/>
    <w:rsid w:val="546C41A4"/>
    <w:rsid w:val="556D217D"/>
    <w:rsid w:val="56FB1D0A"/>
    <w:rsid w:val="5F3E5432"/>
    <w:rsid w:val="60340051"/>
    <w:rsid w:val="65F3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2023-03-03T08:54:00Z</dcterms:created>
  <dc:creator>联想</dc:creator>
  <cp:lastModifiedBy>季候风</cp:lastModifiedBy>
  <dcterms:modified xsi:type="dcterms:W3CDTF">2025-06-11T01:41:46Z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eyJoZGlkIjoiMzQwMjU5OWMzN2Y4NTA5ODhmNjExY2ExNmI4N2Y1NjEiLCJ1c2VySWQiOiI1MTMwNTQ3ODIifQ==</vt:lpwstr>
  </property>
  <property fmtid="{D5CDD505-2E9C-101B-9397-08002B2CF9AE}" pid="4" name="ICV">
    <vt:lpwstr>6BD7347C4CE1498B98CD69D8BB98E2F9_12</vt:lpwstr>
  </property>
</Properties>
</file>